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39577d651402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28194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SVETI PETAR OREHOVEC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III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785.005,98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720.093,37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283.864,49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382.953,75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501.141,49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337.139,62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93.620,99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426.358,44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455,4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93.620,99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426.358,44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455,4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35.733,06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35.733,06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35.733,06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35.733,06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124.951,88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je u izvještajnom razdoblju ostvarila prihode u ukupnom iznosu od 720.093,37 eura, dok su ukupni rashodi ostvareni u iznosu od 845.045,25 eura iz čega proizlazi manjak prihoda i primitaka u iznosu od 124.951,88 eura.</w:t>
      </w:r>
    </w:p>
    <w:p>
      <w:r>
        <w:t xml:space="preserve">Prihodi poslovanja najvećim dijelom se odnose na porezne prihode, te tekuće pomoći iz državnog Proračuna.</w:t>
      </w:r>
    </w:p>
    <w:p>
      <w:r>
        <w:t xml:space="preserve">Rashodi poslovanja se odnose na tekuće održavanje javnih i zelenih površina, održavanje groblja, održavanje odnovnih kanala, tekuće održavanje i slično, dok se rashodi nefinancijske imovine najvećim dijelom odnose na dogradnju dječejg vrtića Mali Petar, podružnica Fodrovec. Izdaci za otplatu zajma prema OTP Banci iznose 35.733,06 eura, a odnose se na kredit za izgradnju školsko sportske dvorane uz Osnovnu školu Sveti Petar Orehovec.</w:t>
      </w:r>
    </w:p>
    <w:p>
      <w:r>
        <w:t xml:space="preserve">Manjak poslovanja u izvještajnom razdoblju iznosi 124.951,88 eura, te sveukupni manjak na kraju izvještajnog razdoblje iznosi 208.688,61 euro.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1.989,03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24.116,57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1212,5</w:t>
            </w:r>
          </w:p>
        </w:tc>
      </w:tr>
    </w:tbl>
    <w:p>
      <w:pPr>
        <w:spacing w:before="0" w:after="0"/>
      </w:pPr>
    </w:p>
    <w:p>
      <w:r>
        <w:t xml:space="preserve">Prihodi komunalne naknade su ostvareni u značajno većem iznosu u odnosu na isto izvještajno razdoblje prošle godine iz razloga jer je prethodne godine zaduženje komunalne naknade bilo u lipnju, dok je ove godine prva rata bila u ožujku.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24.892,82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36.744,71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147,6</w:t>
            </w:r>
          </w:p>
        </w:tc>
      </w:tr>
    </w:tbl>
    <w:p>
      <w:pPr>
        <w:spacing w:before="0" w:after="0"/>
      </w:pPr>
    </w:p>
    <w:p>
      <w:r>
        <w:t xml:space="preserve">Troškovi plaća su povećani u odnosu na isto izvještajno razdoblje prethodne godine iz razloga jer se prošle godine jedna djelatnica vratlia sa rodiljnog dopusta sredinom veljače, te je prošle godine u rujnu bilo povećanje osnovice za obračun plaća.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526,8</w:t>
            </w:r>
          </w:p>
        </w:tc>
      </w:tr>
    </w:tbl>
    <w:p>
      <w:pPr>
        <w:spacing w:before="0" w:after="0"/>
      </w:pPr>
    </w:p>
    <w:p>
      <w:r>
        <w:t xml:space="preserve">Ostali rashodi za zaposlene uvećani su iz razloga jer je Uskrsnica ove godine isplaćena u ožujku, dok je prošle godine bila u travnju isplaćena.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obvezno zdravstveno osiguranje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4.107,32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6.062,86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147,6</w:t>
            </w:r>
          </w:p>
        </w:tc>
      </w:tr>
    </w:tbl>
    <w:p>
      <w:pPr>
        <w:spacing w:before="0" w:after="0"/>
      </w:pPr>
    </w:p>
    <w:p>
      <w:r>
        <w:t xml:space="preserve">Doprinosi na plaću uvećani su zbog povećanja osnovice za obračun plaće u odnosu na isto izvještajno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108.794,35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171.841,45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158,0</w:t>
            </w:r>
          </w:p>
        </w:tc>
      </w:tr>
    </w:tbl>
    <w:p>
      <w:pPr>
        <w:spacing w:before="0" w:after="0"/>
      </w:pPr>
    </w:p>
    <w:p>
      <w:r>
        <w:t xml:space="preserve">Troškoi vrtića povećani su zbog povećanja osnovice za obračun plaća u rujnu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nema dospjelih obveza.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1df3f5cd8b4454" /></Relationships>
</file>